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“ВОРОНЕЖСКИЙ ГОСУДАРСТВЕННЫЙ УНИВЕРСИТЕТ”</w:t>
      </w:r>
    </w:p>
    <w:p w:rsidR="00B06B08" w:rsidRPr="00DB292F" w:rsidRDefault="0019485A" w:rsidP="0019485A">
      <w:pPr>
        <w:tabs>
          <w:tab w:val="left" w:pos="720"/>
        </w:tabs>
        <w:suppressAutoHyphens/>
        <w:spacing w:after="0" w:line="312" w:lineRule="auto"/>
        <w:ind w:left="72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733B47" wp14:editId="27B60F40">
            <wp:simplePos x="0" y="0"/>
            <wp:positionH relativeFrom="column">
              <wp:posOffset>260350</wp:posOffset>
            </wp:positionH>
            <wp:positionV relativeFrom="paragraph">
              <wp:posOffset>45085</wp:posOffset>
            </wp:positionV>
            <wp:extent cx="1222375" cy="1438275"/>
            <wp:effectExtent l="19050" t="0" r="0" b="0"/>
            <wp:wrapNone/>
            <wp:docPr id="2" name="Рисунок 2" descr="&amp;Vcy;&amp;ocy;&amp;rcy;&amp;ocy;&amp;ncy;&amp;iecy;&amp;zh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Vcy;&amp;ocy;&amp;rcy;&amp;ocy;&amp;ncy;&amp;iecy;&amp;zh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6AF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r w:rsidR="00B06B08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</w:t>
      </w:r>
      <w:r w:rsidR="002926AF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06B08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06B08" w:rsidRPr="00DB292F" w:rsidRDefault="00B06B08" w:rsidP="0019485A">
      <w:pPr>
        <w:tabs>
          <w:tab w:val="left" w:pos="720"/>
        </w:tabs>
        <w:suppressAutoHyphens/>
        <w:spacing w:after="0" w:line="312" w:lineRule="auto"/>
        <w:ind w:left="720"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B08" w:rsidRPr="00DB292F" w:rsidRDefault="00B06B08" w:rsidP="0019485A">
      <w:pPr>
        <w:suppressAutoHyphens/>
        <w:spacing w:after="198" w:line="312" w:lineRule="auto"/>
        <w:ind w:right="28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73D8C7" wp14:editId="0D500B8F">
            <wp:extent cx="2409825" cy="714375"/>
            <wp:effectExtent l="0" t="0" r="9525" b="9525"/>
            <wp:docPr id="1" name="Рисунок 1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AF" w:rsidRPr="00DB292F" w:rsidRDefault="002926AF" w:rsidP="0019485A">
      <w:pPr>
        <w:suppressAutoHyphens/>
        <w:spacing w:after="0" w:line="312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B08" w:rsidRPr="00DB292F" w:rsidRDefault="00B06B08" w:rsidP="002926AF">
      <w:pPr>
        <w:suppressAutoHyphens/>
        <w:spacing w:before="60" w:after="60" w:line="312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  <w:r w:rsidR="00971A32" w:rsidRPr="00DB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40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06B08" w:rsidRPr="00DB292F" w:rsidRDefault="00B06B08" w:rsidP="002926AF">
      <w:pPr>
        <w:tabs>
          <w:tab w:val="left" w:pos="3735"/>
        </w:tabs>
        <w:suppressAutoHyphens/>
        <w:spacing w:before="60" w:after="60" w:line="312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DB292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Уважаемые </w:t>
      </w:r>
      <w:r w:rsidR="0019485A" w:rsidRPr="00DB292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коллеги</w:t>
      </w:r>
      <w:r w:rsidRPr="00DB292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!</w:t>
      </w:r>
    </w:p>
    <w:p w:rsidR="00E21CC5" w:rsidRDefault="00E21CC5" w:rsidP="00E21CC5">
      <w:pPr>
        <w:tabs>
          <w:tab w:val="left" w:pos="3735"/>
        </w:tabs>
        <w:suppressAutoHyphens/>
        <w:spacing w:before="60" w:after="60" w:line="312" w:lineRule="auto"/>
        <w:ind w:right="284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       Благодарим вас за интерес, проявленный к конференции </w:t>
      </w:r>
      <w:r w:rsidR="00DC19F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«Языковая картина мира в условиях мультилингвизма и мультикультурализма: переводческий, лингвисти</w:t>
      </w: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ческий и дидактический аспекты», организованной в ФГБОУ ВО «ВГУ» в период с 16 по 19 декабря 2020 года. </w:t>
      </w:r>
    </w:p>
    <w:p w:rsidR="00316948" w:rsidRPr="00DB292F" w:rsidRDefault="00316948" w:rsidP="00E21CC5">
      <w:pPr>
        <w:tabs>
          <w:tab w:val="left" w:pos="3735"/>
        </w:tabs>
        <w:suppressAutoHyphens/>
        <w:spacing w:before="60" w:after="60" w:line="312" w:lineRule="auto"/>
        <w:ind w:right="284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bookmarkStart w:id="0" w:name="_GoBack"/>
      <w:bookmarkEnd w:id="0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По материалам конференции будет опубликован сборник статей (РИНЦ).</w:t>
      </w:r>
    </w:p>
    <w:p w:rsidR="00316948" w:rsidRPr="00446609" w:rsidRDefault="00E21CC5" w:rsidP="003169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       </w:t>
      </w:r>
      <w:r w:rsidR="00316948" w:rsidRPr="00446609">
        <w:rPr>
          <w:rFonts w:ascii="Times New Roman" w:hAnsi="Times New Roman" w:cs="Times New Roman"/>
          <w:b/>
          <w:sz w:val="28"/>
          <w:szCs w:val="28"/>
        </w:rPr>
        <w:t xml:space="preserve">Правила публикации статей в сборнике по материалам конференции </w:t>
      </w: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</w:t>
      </w:r>
      <w:r w:rsidRPr="00446609">
        <w:rPr>
          <w:rFonts w:ascii="Times New Roman" w:hAnsi="Times New Roman" w:cs="Times New Roman"/>
          <w:b/>
          <w:sz w:val="28"/>
          <w:szCs w:val="28"/>
        </w:rPr>
        <w:t>ные даты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авторов</w:t>
      </w:r>
      <w:r w:rsidRPr="00446609">
        <w:rPr>
          <w:rFonts w:ascii="Times New Roman" w:hAnsi="Times New Roman" w:cs="Times New Roman"/>
          <w:sz w:val="28"/>
          <w:szCs w:val="28"/>
        </w:rPr>
        <w:t>:</w:t>
      </w:r>
    </w:p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6609">
        <w:rPr>
          <w:rFonts w:ascii="Times New Roman" w:hAnsi="Times New Roman" w:cs="Times New Roman"/>
          <w:sz w:val="28"/>
          <w:szCs w:val="28"/>
        </w:rPr>
        <w:t xml:space="preserve">до 15 января 2021 года – срок подачи статьи по адресу </w:t>
      </w:r>
      <w:hyperlink r:id="rId9" w:history="1"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voronezh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.2020@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169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945FF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ответственный секретарь конференции, </w:t>
      </w:r>
      <w:r w:rsidRPr="003169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доцент Лукина Светлана Леонидовна)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6609">
        <w:rPr>
          <w:rFonts w:ascii="Times New Roman" w:hAnsi="Times New Roman" w:cs="Times New Roman"/>
          <w:sz w:val="28"/>
          <w:szCs w:val="28"/>
        </w:rPr>
        <w:t>15.01 – 30.01. 2021 года – принятие решения редакционной коллегией о публикации</w:t>
      </w:r>
      <w:r>
        <w:rPr>
          <w:rFonts w:ascii="Times New Roman" w:hAnsi="Times New Roman" w:cs="Times New Roman"/>
          <w:sz w:val="28"/>
          <w:szCs w:val="28"/>
        </w:rPr>
        <w:t xml:space="preserve"> статьи и сообщение о нем авторам; </w:t>
      </w:r>
    </w:p>
    <w:p w:rsidR="00316948" w:rsidRPr="00DB292F" w:rsidRDefault="00316948" w:rsidP="00316948">
      <w:pPr>
        <w:tabs>
          <w:tab w:val="left" w:pos="708"/>
        </w:tabs>
        <w:suppressAutoHyphens/>
        <w:spacing w:after="0" w:line="360" w:lineRule="auto"/>
        <w:ind w:right="284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6609">
        <w:rPr>
          <w:rFonts w:ascii="Times New Roman" w:hAnsi="Times New Roman" w:cs="Times New Roman"/>
          <w:sz w:val="28"/>
          <w:szCs w:val="28"/>
        </w:rPr>
        <w:t>01.02. – 15.02. 2021 года –</w:t>
      </w:r>
      <w:r w:rsidR="00B0610A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27B5F">
        <w:rPr>
          <w:rFonts w:ascii="Times New Roman" w:hAnsi="Times New Roman" w:cs="Times New Roman"/>
          <w:sz w:val="28"/>
          <w:szCs w:val="28"/>
        </w:rPr>
        <w:t xml:space="preserve">и оплата </w:t>
      </w:r>
      <w:r w:rsidRPr="00446609">
        <w:rPr>
          <w:rFonts w:ascii="Times New Roman" w:hAnsi="Times New Roman" w:cs="Times New Roman"/>
          <w:sz w:val="28"/>
          <w:szCs w:val="28"/>
        </w:rPr>
        <w:t xml:space="preserve">Договора об экспертной оценке (рецензировании) и научном редактировании статьи (Далее – Договор) между автором и Воронежским государственным университетом. Бланк Договора, процедура </w:t>
      </w:r>
      <w:r w:rsidR="00B0610A">
        <w:rPr>
          <w:rFonts w:ascii="Times New Roman" w:hAnsi="Times New Roman" w:cs="Times New Roman"/>
          <w:sz w:val="28"/>
          <w:szCs w:val="28"/>
        </w:rPr>
        <w:t>подписания и порядок оплаты буду</w:t>
      </w:r>
      <w:r w:rsidRPr="00446609">
        <w:rPr>
          <w:rFonts w:ascii="Times New Roman" w:hAnsi="Times New Roman" w:cs="Times New Roman"/>
          <w:sz w:val="28"/>
          <w:szCs w:val="28"/>
        </w:rPr>
        <w:t>т размещены на сайте конференции</w:t>
      </w:r>
      <w:r w:rsidR="00945FF4">
        <w:rPr>
          <w:rFonts w:ascii="Times New Roman" w:hAnsi="Times New Roman" w:cs="Times New Roman"/>
          <w:sz w:val="28"/>
          <w:szCs w:val="28"/>
        </w:rPr>
        <w:t xml:space="preserve"> в разделе Публикация статей»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DB292F">
          <w:rPr>
            <w:rFonts w:ascii="Arial" w:eastAsia="Times New Roman" w:hAnsi="Arial" w:cs="Arial"/>
            <w:color w:val="990099"/>
            <w:sz w:val="28"/>
            <w:szCs w:val="28"/>
            <w:u w:val="single"/>
            <w:lang w:eastAsia="ru-RU"/>
          </w:rPr>
          <w:t>http://www.rgph.vsu.ru/ru/science/conf/conf20201216/index.html</w:t>
        </w:r>
      </w:hyperlink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316948" w:rsidRPr="00446609" w:rsidRDefault="00316948" w:rsidP="00316948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Стоимость услуг в соответствии с Договором – 900 руб. за статью. Для участников программы повышения квалификации публикация осуществляется бесплатно. </w:t>
      </w:r>
    </w:p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Объем статьи – от 20000 до 40000 знаков.</w:t>
      </w:r>
    </w:p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Уровень оригинальности не ниже 75%</w:t>
      </w:r>
      <w:r w:rsidR="00B0610A">
        <w:rPr>
          <w:rFonts w:ascii="Times New Roman" w:hAnsi="Times New Roman" w:cs="Times New Roman"/>
          <w:sz w:val="28"/>
          <w:szCs w:val="28"/>
        </w:rPr>
        <w:t>.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студентов, магистрантов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принимаются в соавторстве с научным руководителем</w:t>
      </w:r>
      <w:r w:rsidR="00B0610A">
        <w:rPr>
          <w:rFonts w:ascii="Times New Roman" w:hAnsi="Times New Roman" w:cs="Times New Roman"/>
          <w:sz w:val="28"/>
          <w:szCs w:val="28"/>
        </w:rPr>
        <w:t xml:space="preserve"> или с заверенной рецензией научного руководителя</w:t>
      </w:r>
      <w:r w:rsidRPr="00446609">
        <w:rPr>
          <w:rFonts w:ascii="Times New Roman" w:hAnsi="Times New Roman" w:cs="Times New Roman"/>
          <w:sz w:val="28"/>
          <w:szCs w:val="28"/>
        </w:rPr>
        <w:t>.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СТАТЕЙ</w:t>
      </w: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ОБЩИЕ ПАРАМЕТРЫ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атьи набирается в редакторе MS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tabs>
          <w:tab w:val="left" w:pos="90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параметры страницы: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поля – </w:t>
      </w:r>
      <w:r w:rsidRPr="00446609">
        <w:rPr>
          <w:rFonts w:ascii="Times New Roman" w:hAnsi="Times New Roman" w:cs="Times New Roman"/>
          <w:sz w:val="28"/>
          <w:szCs w:val="28"/>
        </w:rPr>
        <w:t>2 см;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нумерация </w:t>
      </w:r>
      <w:r w:rsidRPr="0044660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страниц – отсутствует;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текст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печатается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через 1,5 интервала;</w:t>
      </w:r>
      <w:r w:rsidRPr="00446609">
        <w:rPr>
          <w:rFonts w:ascii="Times New Roman" w:hAnsi="Times New Roman" w:cs="Times New Roman"/>
          <w:sz w:val="28"/>
          <w:szCs w:val="28"/>
        </w:rPr>
        <w:t xml:space="preserve"> размер шрифта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proofErr w:type="spellStart"/>
      <w:r w:rsidRPr="00446609">
        <w:rPr>
          <w:rFonts w:ascii="Times New Roman" w:hAnsi="Times New Roman" w:cs="Times New Roman"/>
          <w:b/>
          <w:bCs/>
          <w:sz w:val="28"/>
          <w:szCs w:val="28"/>
          <w:lang w:val="en-US"/>
        </w:rPr>
        <w:t>pt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,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46609">
        <w:rPr>
          <w:rFonts w:ascii="Times New Roman" w:hAnsi="Times New Roman" w:cs="Times New Roman"/>
          <w:sz w:val="28"/>
          <w:szCs w:val="28"/>
        </w:rPr>
        <w:t xml:space="preserve">; выравнивание – «по ширине»; ширина абзацного отступа 1,25 см. Все абзацные отступы должны устанавливаться только автоматически — встроенными средствами MS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! Также необходимо включить режим переносов;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все слова внутри абзаца разделяются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одним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пробелом; 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перед знаками препинания пробелы не ставятся, после них – один пробел;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 наборе текста следует различать дефисы (например, 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серо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46609">
        <w:rPr>
          <w:rFonts w:ascii="Times New Roman" w:hAnsi="Times New Roman" w:cs="Times New Roman"/>
          <w:sz w:val="28"/>
          <w:szCs w:val="28"/>
        </w:rPr>
        <w:t>голубой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) и тире (1998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46609">
        <w:rPr>
          <w:rFonts w:ascii="Times New Roman" w:hAnsi="Times New Roman" w:cs="Times New Roman"/>
          <w:sz w:val="28"/>
          <w:szCs w:val="28"/>
        </w:rPr>
        <w:t xml:space="preserve">2000 гг., цель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46609">
        <w:rPr>
          <w:rFonts w:ascii="Times New Roman" w:hAnsi="Times New Roman" w:cs="Times New Roman"/>
          <w:sz w:val="28"/>
          <w:szCs w:val="28"/>
        </w:rPr>
        <w:t>доказательство и т.п.);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в качестве кавычек использовать «»;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при оформлении перечней предпочтительно используйте тире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 xml:space="preserve"> (–); </w:t>
      </w:r>
      <w:proofErr w:type="gramEnd"/>
      <w:r w:rsidRPr="00446609">
        <w:rPr>
          <w:rFonts w:ascii="Times New Roman" w:hAnsi="Times New Roman" w:cs="Times New Roman"/>
          <w:i/>
          <w:iCs/>
          <w:sz w:val="28"/>
          <w:szCs w:val="28"/>
        </w:rPr>
        <w:t>ромбики, звездочки и иные графические элементы применять не рекомендуется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примеры в статье выделяются </w:t>
      </w:r>
      <w:r w:rsidRPr="00446609">
        <w:rPr>
          <w:rStyle w:val="a7"/>
          <w:rFonts w:ascii="Times New Roman" w:hAnsi="Times New Roman" w:cs="Times New Roman"/>
          <w:sz w:val="28"/>
          <w:szCs w:val="28"/>
        </w:rPr>
        <w:t>курсивом;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формул </w:t>
      </w:r>
      <w:r w:rsidRPr="00446609">
        <w:rPr>
          <w:rFonts w:ascii="Times New Roman" w:hAnsi="Times New Roman" w:cs="Times New Roman"/>
          <w:bCs/>
          <w:sz w:val="28"/>
          <w:szCs w:val="28"/>
        </w:rPr>
        <w:t>они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</w:rPr>
        <w:t xml:space="preserve">набираются в редакторе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446609">
        <w:rPr>
          <w:rFonts w:ascii="Times New Roman" w:hAnsi="Times New Roman" w:cs="Times New Roman"/>
          <w:sz w:val="28"/>
          <w:szCs w:val="28"/>
        </w:rPr>
        <w:t xml:space="preserve"> 3.0 или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446609">
        <w:rPr>
          <w:rFonts w:ascii="Times New Roman" w:hAnsi="Times New Roman" w:cs="Times New Roman"/>
          <w:sz w:val="28"/>
          <w:szCs w:val="28"/>
        </w:rPr>
        <w:t>;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 размер шрифта в формулах должен соответствовать размеру шрифта текста, т.е. 14 </w:t>
      </w:r>
      <w:proofErr w:type="spellStart"/>
      <w:r w:rsidRPr="00446609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, </w:t>
      </w:r>
      <w:r w:rsidRPr="004466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размер шрифта индексов в формулах 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446609">
        <w:rPr>
          <w:rFonts w:ascii="Times New Roman" w:hAnsi="Times New Roman" w:cs="Times New Roman"/>
          <w:color w:val="000000"/>
          <w:spacing w:val="-7"/>
          <w:sz w:val="28"/>
          <w:szCs w:val="28"/>
        </w:rPr>
        <w:t>–</w:t>
      </w:r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10 </w:t>
      </w:r>
      <w:proofErr w:type="spellStart"/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pt</w:t>
      </w:r>
      <w:proofErr w:type="spellEnd"/>
      <w:r w:rsidRPr="004466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; 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пронумерованные формулы (нумеруются только те, на которые есть ссылки в тексте) выносятся отдельной строкой и располагаются по центру; 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 xml:space="preserve">рисунки </w:t>
      </w:r>
      <w:r w:rsidRPr="00446609">
        <w:rPr>
          <w:rFonts w:ascii="Times New Roman" w:hAnsi="Times New Roman" w:cs="Times New Roman"/>
          <w:sz w:val="28"/>
          <w:szCs w:val="28"/>
        </w:rPr>
        <w:t>должны иметь упоминание в тексте; сплошную нумерацию в рамках статьи. Если рисунок один, порядковый номер не ставится. Подрисуночные подписи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 не должны </w:t>
      </w:r>
      <w:r w:rsidRPr="00446609">
        <w:rPr>
          <w:rFonts w:ascii="Times New Roman" w:hAnsi="Times New Roman" w:cs="Times New Roman"/>
          <w:sz w:val="28"/>
          <w:szCs w:val="28"/>
        </w:rPr>
        <w:t xml:space="preserve">быть включены в рисунок. </w:t>
      </w:r>
      <w:r w:rsidRPr="00446609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Не рекомендуется использовать полутоновые рисунки или применять </w:t>
      </w:r>
      <w:r w:rsidRPr="00446609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сплошные заливки. </w:t>
      </w:r>
      <w:r w:rsidRPr="00446609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Название рисунков выравнивается по правому краю.</w:t>
      </w:r>
    </w:p>
    <w:p w:rsidR="00316948" w:rsidRPr="00446609" w:rsidRDefault="00316948" w:rsidP="00316948">
      <w:pPr>
        <w:pStyle w:val="a6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таблицы </w:t>
      </w:r>
      <w:r w:rsidRPr="00446609">
        <w:rPr>
          <w:rFonts w:ascii="Times New Roman" w:hAnsi="Times New Roman" w:cs="Times New Roman"/>
          <w:sz w:val="28"/>
          <w:szCs w:val="28"/>
        </w:rPr>
        <w:t xml:space="preserve">должны иметь упоминание в тексте, сплошную нумерацию в рамках статьи. Если таблица одна, порядковый номер не ставится. </w:t>
      </w:r>
      <w:r w:rsidRPr="00446609">
        <w:rPr>
          <w:rFonts w:ascii="Times New Roman" w:hAnsi="Times New Roman" w:cs="Times New Roman"/>
          <w:color w:val="000000"/>
          <w:sz w:val="28"/>
          <w:szCs w:val="28"/>
        </w:rPr>
        <w:t>Таблицы и графические элементы не должны выступать на поля за границы основного текста</w:t>
      </w:r>
      <w:r w:rsidRPr="004466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z w:val="28"/>
          <w:szCs w:val="28"/>
        </w:rPr>
        <w:t>Размер шрифта во всех таблицах должен быть одинаковым. Если таблица не помещается на одной странице, то при разрыве следует продублировать шапку таблицы или добавить строки с нумерацией столбцов, а также надпись «Продолжение (или «окончание») табл. …». Название таблиц выравнивается по правому краю.</w:t>
      </w:r>
    </w:p>
    <w:p w:rsidR="00316948" w:rsidRPr="00446609" w:rsidRDefault="00316948" w:rsidP="00316948">
      <w:pPr>
        <w:spacing w:after="0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316948" w:rsidRPr="00446609" w:rsidRDefault="00316948" w:rsidP="00316948">
      <w:pPr>
        <w:tabs>
          <w:tab w:val="num" w:pos="0"/>
        </w:tabs>
        <w:spacing w:after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46609">
        <w:rPr>
          <w:rStyle w:val="a7"/>
          <w:rFonts w:ascii="Times New Roman" w:hAnsi="Times New Roman" w:cs="Times New Roman"/>
          <w:b/>
          <w:sz w:val="28"/>
          <w:szCs w:val="28"/>
        </w:rPr>
        <w:t>СТРУКТУРА СТАТЬИ</w:t>
      </w:r>
    </w:p>
    <w:p w:rsidR="00316948" w:rsidRPr="00446609" w:rsidRDefault="00316948" w:rsidP="00316948">
      <w:pPr>
        <w:tabs>
          <w:tab w:val="num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верхнем левом углу страницы приводится шифр УДК 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обычным шрифтом. На следующей строке по центру указывается название статьи. Название статьи печатается </w:t>
      </w:r>
      <w:r w:rsidRPr="00446609">
        <w:rPr>
          <w:rFonts w:ascii="Times New Roman" w:hAnsi="Times New Roman" w:cs="Times New Roman"/>
          <w:b/>
          <w:bCs/>
          <w:sz w:val="28"/>
          <w:szCs w:val="28"/>
        </w:rPr>
        <w:t>ПОЛУЖИРНЫМ ПРОПИСНЫМ</w:t>
      </w:r>
      <w:r w:rsidRPr="00446609">
        <w:rPr>
          <w:rFonts w:ascii="Times New Roman" w:hAnsi="Times New Roman" w:cs="Times New Roman"/>
          <w:sz w:val="28"/>
          <w:szCs w:val="28"/>
        </w:rPr>
        <w:t xml:space="preserve"> шрифтом 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, выравнивание по центру </w:t>
      </w:r>
      <w:r w:rsidRPr="00446609">
        <w:rPr>
          <w:rFonts w:ascii="Times New Roman" w:hAnsi="Times New Roman" w:cs="Times New Roman"/>
          <w:b/>
          <w:sz w:val="28"/>
          <w:szCs w:val="28"/>
        </w:rPr>
        <w:t>без отступа</w:t>
      </w:r>
      <w:r w:rsidRPr="00446609">
        <w:rPr>
          <w:rFonts w:ascii="Times New Roman" w:hAnsi="Times New Roman" w:cs="Times New Roman"/>
          <w:sz w:val="28"/>
          <w:szCs w:val="28"/>
        </w:rPr>
        <w:t>. Точка в конце названия не ставится. До и после названия – пробел в 1 интервал. Под названием указывается фамилия и инициалы автора (авторов), развернутое название научного учреждения, в котором работает авто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ы); выравнивание по правому краю.</w:t>
      </w: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609">
        <w:rPr>
          <w:rFonts w:ascii="Times New Roman" w:hAnsi="Times New Roman" w:cs="Times New Roman"/>
          <w:sz w:val="28"/>
          <w:szCs w:val="28"/>
        </w:rPr>
        <w:t xml:space="preserve">Под фамилией автора (авторов) представляется краткая аннотация статьи объемом 150-200 слов, 12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обычный, через одинарный интервал без отступов абзаца, выравнивание по ширине.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После аннотации приводятся оформленные по тем же требованиям </w:t>
      </w:r>
      <w:r w:rsidRPr="00446609">
        <w:rPr>
          <w:rStyle w:val="a8"/>
          <w:rFonts w:ascii="Times New Roman" w:hAnsi="Times New Roman" w:cs="Times New Roman"/>
          <w:sz w:val="28"/>
          <w:szCs w:val="28"/>
        </w:rPr>
        <w:t>ключевые слова</w:t>
      </w:r>
      <w:r w:rsidRPr="00446609">
        <w:rPr>
          <w:rFonts w:ascii="Times New Roman" w:hAnsi="Times New Roman" w:cs="Times New Roman"/>
          <w:sz w:val="28"/>
          <w:szCs w:val="28"/>
        </w:rPr>
        <w:t xml:space="preserve"> (8-10 слов и словосочетаний), релевантные для статьи.</w:t>
      </w: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Ссылки на литературные источники в тексте статьи заключаются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в квадратные скобки [1, с.5]</w:t>
      </w:r>
      <w:r w:rsidRPr="00446609">
        <w:rPr>
          <w:rFonts w:ascii="Times New Roman" w:hAnsi="Times New Roman" w:cs="Times New Roman"/>
          <w:sz w:val="28"/>
          <w:szCs w:val="28"/>
        </w:rPr>
        <w:t xml:space="preserve">. После текста статьи приводится список использованных источников, озаглавленный «Литература». Список содержит </w:t>
      </w:r>
      <w:r w:rsidRPr="00446609">
        <w:rPr>
          <w:rFonts w:ascii="Times New Roman" w:hAnsi="Times New Roman" w:cs="Times New Roman"/>
          <w:b/>
          <w:sz w:val="28"/>
          <w:szCs w:val="28"/>
        </w:rPr>
        <w:t>только те источники, на которые имеются ссылки в тексте</w:t>
      </w:r>
      <w:r w:rsidRPr="00446609">
        <w:rPr>
          <w:rFonts w:ascii="Times New Roman" w:hAnsi="Times New Roman" w:cs="Times New Roman"/>
          <w:sz w:val="28"/>
          <w:szCs w:val="28"/>
        </w:rPr>
        <w:t xml:space="preserve"> (цифрой в квадратных скобках); источники располагаются и нумеруются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в порядке цитирования</w:t>
      </w:r>
      <w:r w:rsidRPr="00446609">
        <w:rPr>
          <w:rFonts w:ascii="Times New Roman" w:hAnsi="Times New Roman" w:cs="Times New Roman"/>
          <w:sz w:val="28"/>
          <w:szCs w:val="28"/>
        </w:rPr>
        <w:t xml:space="preserve"> (а не по алфавиту!) и оформляются </w:t>
      </w:r>
      <w:r w:rsidRPr="00446609">
        <w:rPr>
          <w:rFonts w:ascii="Times New Roman" w:hAnsi="Times New Roman" w:cs="Times New Roman"/>
          <w:b/>
          <w:sz w:val="28"/>
          <w:szCs w:val="28"/>
        </w:rPr>
        <w:t>строго в соответствии с ГОСТ 7.0.5–2008</w:t>
      </w:r>
      <w:r w:rsidRPr="00446609">
        <w:rPr>
          <w:rFonts w:ascii="Times New Roman" w:hAnsi="Times New Roman" w:cs="Times New Roman"/>
          <w:sz w:val="28"/>
          <w:szCs w:val="28"/>
        </w:rPr>
        <w:t xml:space="preserve"> «Библиографическая запись. Библиографическое описание» (примеры см. ниже). Если ссылка на литературу есть в таблице или подписи к рисунку, ей дается порядковый номер, соответствующий расположению данного материала в тексте статьи. Ссылки на неопубликованные работы не допускаются. Далее необходимо указать Список анализируемых источников и Список словарей. Порядковые номера работ в Списке источников обозначаются [1*] (цифрой с одной звездочкой). Порядковые номера работ в Списке словарей обозначаются [1**] (цифрой с двумя звездочками). 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 xml:space="preserve">Если список источников в статье не приводится, то после Списка анализируемых источников располагается Список словарей, нумерация источников в котором оформляется так, как указано выше [1**] (цифрой с двумя звездочками)). </w:t>
      </w:r>
      <w:proofErr w:type="gramEnd"/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lastRenderedPageBreak/>
        <w:t>После списка литературы приводится название статьи, фамилии авторов, аннотация и ключевые слова на английском языке.</w:t>
      </w: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В конце статьи </w:t>
      </w:r>
      <w:r w:rsidRPr="00446609">
        <w:rPr>
          <w:rFonts w:ascii="Times New Roman" w:hAnsi="Times New Roman" w:cs="Times New Roman"/>
          <w:b/>
          <w:sz w:val="28"/>
          <w:szCs w:val="28"/>
        </w:rPr>
        <w:t>в таблице с невидимыми границами</w:t>
      </w:r>
      <w:r w:rsidRPr="00446609">
        <w:rPr>
          <w:rFonts w:ascii="Times New Roman" w:hAnsi="Times New Roman" w:cs="Times New Roman"/>
          <w:sz w:val="28"/>
          <w:szCs w:val="28"/>
        </w:rPr>
        <w:t xml:space="preserve"> приводятся сведения об авторах на русском и английском языках: фамилия и инициалы, должность, ученая степень, телефон и адрес электронной почты.</w:t>
      </w:r>
    </w:p>
    <w:p w:rsidR="00316948" w:rsidRPr="00446609" w:rsidRDefault="00316948" w:rsidP="00316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УДК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609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Фамилия И.О. автора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Аннотация на русском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Ключевые слова на русском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Аннотация на английском языке</w:t>
      </w:r>
    </w:p>
    <w:p w:rsidR="00316948" w:rsidRPr="00446609" w:rsidRDefault="00316948" w:rsidP="0031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Ключевые слова на английском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тексг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(14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).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Литература (12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)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1. …, 2. …, и т.д.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Список источников примеров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 …, 2* …., и т.д.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Список словарей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По стандарту, в порядке цитирования, нумерация 1** …, 2** …., и т.д.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НАЗВАНИЕ СТАТЬИ 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АНГЛИЙСКОМ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Фамилия И.О. автора на английском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Название учреждения на английском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Аннотация на английском языке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lastRenderedPageBreak/>
        <w:t>Ключевые слова на английском языке</w:t>
      </w:r>
    </w:p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6948" w:rsidRPr="00446609" w:rsidTr="00B7139D">
        <w:tc>
          <w:tcPr>
            <w:tcW w:w="4672" w:type="dxa"/>
          </w:tcPr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Отчество, </w:t>
            </w: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</w:pPr>
            <w:proofErr w:type="spellStart"/>
            <w:r w:rsidRPr="00446609"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  <w:t>e-mail</w:t>
            </w:r>
            <w:proofErr w:type="spellEnd"/>
            <w:r w:rsidRPr="00446609">
              <w:rPr>
                <w:rFonts w:ascii="Times New Roman" w:hAnsi="Times New Roman" w:cs="Times New Roman"/>
                <w:color w:val="222222"/>
                <w:sz w:val="28"/>
                <w:szCs w:val="28"/>
                <w:lang w:val="de-DE"/>
              </w:rPr>
              <w:t xml:space="preserve">: </w:t>
            </w:r>
          </w:p>
        </w:tc>
        <w:tc>
          <w:tcPr>
            <w:tcW w:w="4673" w:type="dxa"/>
          </w:tcPr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48" w:rsidRPr="00446609" w:rsidRDefault="00316948" w:rsidP="00B71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609">
              <w:rPr>
                <w:rFonts w:ascii="Times New Roman" w:hAnsi="Times New Roman" w:cs="Times New Roman"/>
                <w:sz w:val="28"/>
                <w:szCs w:val="28"/>
              </w:rPr>
              <w:t>На русском и на английском языках</w:t>
            </w:r>
          </w:p>
        </w:tc>
      </w:tr>
    </w:tbl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09">
        <w:rPr>
          <w:rFonts w:ascii="Times New Roman" w:hAnsi="Times New Roman" w:cs="Times New Roman"/>
          <w:b/>
          <w:sz w:val="28"/>
          <w:szCs w:val="28"/>
        </w:rPr>
        <w:t>ПРИМЕРЫ ОФОРМЛЕНИЯ СПИСКА ЛИТЕРАТУРЫ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left="1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>Перед тем как составлять список литературы, необходимо ознакомиться с ГОСТом или, как минимум, с примерами оформления литературы, приводимыми ниже.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left="125" w:firstLine="2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произведение одного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нескольких авторов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iCs/>
          <w:spacing w:val="16"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Бахтин М.М. Формальный метод в литературоведении: критическое введение в социальную поэтику. М.: Лабиринт, 2003. 192 с.</w:t>
      </w:r>
    </w:p>
    <w:p w:rsidR="00316948" w:rsidRPr="00446609" w:rsidRDefault="00316948" w:rsidP="0031694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Бердяев Н.А. Смысл истории. М.: Мысль, 1990. 175 с.</w:t>
      </w:r>
    </w:p>
    <w:p w:rsidR="00316948" w:rsidRPr="00446609" w:rsidRDefault="00316948" w:rsidP="0031694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Пахомов В.И., Петрова Г.П. Логистика. М.: Проспект, 2006. 232 с.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В случае наличия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четырех и более авторов</w:t>
      </w:r>
      <w:r w:rsidRPr="00446609">
        <w:rPr>
          <w:rFonts w:ascii="Times New Roman" w:hAnsi="Times New Roman" w:cs="Times New Roman"/>
          <w:iCs/>
          <w:sz w:val="28"/>
          <w:szCs w:val="28"/>
        </w:rPr>
        <w:t>,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</w:t>
      </w:r>
      <w:r w:rsidRPr="00446609">
        <w:rPr>
          <w:rFonts w:ascii="Times New Roman" w:hAnsi="Times New Roman" w:cs="Times New Roman"/>
          <w:sz w:val="28"/>
          <w:szCs w:val="28"/>
        </w:rPr>
        <w:t xml:space="preserve">апись составляют </w:t>
      </w:r>
      <w:r w:rsidRPr="00446609">
        <w:rPr>
          <w:rFonts w:ascii="Times New Roman" w:hAnsi="Times New Roman" w:cs="Times New Roman"/>
          <w:i/>
          <w:sz w:val="28"/>
          <w:szCs w:val="28"/>
        </w:rPr>
        <w:t>под заглавием произведения,</w:t>
      </w:r>
      <w:r w:rsidRPr="00446609">
        <w:rPr>
          <w:rFonts w:ascii="Times New Roman" w:hAnsi="Times New Roman" w:cs="Times New Roman"/>
          <w:sz w:val="28"/>
          <w:szCs w:val="28"/>
        </w:rPr>
        <w:t xml:space="preserve"> а в сведениях об ответственности ограничиваются указанием на первого автора с добавлением в квадратных скобках сокращения «и другие» [и др.] и/или редактора в квадратных скобках [под ред.].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Нестационарная аэродинамика баллистического полета / Ю.М.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Липницкий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[и др.]. М., 2003. 176 с.</w:t>
      </w:r>
    </w:p>
    <w:p w:rsidR="00316948" w:rsidRPr="00446609" w:rsidRDefault="00316948" w:rsidP="0031694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Педагогический энциклопедический словарь / гл. ред. Б.М. Бим-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Бад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>. М.: Большая Российская энциклопедия, 2003. 528 с.</w:t>
      </w:r>
    </w:p>
    <w:p w:rsidR="00316948" w:rsidRPr="00446609" w:rsidRDefault="00316948" w:rsidP="0031694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межвуз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сб. науч. тр. /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Сарат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гос. ун-т; [под ред. С.Ф.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Мартыновича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 xml:space="preserve">]. Саратов: Изд-во </w:t>
      </w:r>
      <w:proofErr w:type="spellStart"/>
      <w:r w:rsidRPr="00446609">
        <w:rPr>
          <w:rFonts w:ascii="Times New Roman" w:hAnsi="Times New Roman" w:cs="Times New Roman"/>
          <w:iCs/>
          <w:sz w:val="28"/>
          <w:szCs w:val="28"/>
        </w:rPr>
        <w:t>Сарат</w:t>
      </w:r>
      <w:proofErr w:type="spellEnd"/>
      <w:r w:rsidRPr="00446609">
        <w:rPr>
          <w:rFonts w:ascii="Times New Roman" w:hAnsi="Times New Roman" w:cs="Times New Roman"/>
          <w:iCs/>
          <w:sz w:val="28"/>
          <w:szCs w:val="28"/>
        </w:rPr>
        <w:t>. ун-та, 1999. 199 с.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Составление записи на </w:t>
      </w:r>
      <w:r w:rsidRPr="00446609">
        <w:rPr>
          <w:rFonts w:ascii="Times New Roman" w:hAnsi="Times New Roman" w:cs="Times New Roman"/>
          <w:b/>
          <w:i/>
          <w:iCs/>
          <w:sz w:val="28"/>
          <w:szCs w:val="28"/>
        </w:rPr>
        <w:t>многотомные издания:</w:t>
      </w:r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В.Д. Справочник домашнего врача: в 3 т. Т. 2: Детские болезни. М.: ACT: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, 2002. 303 с.</w:t>
      </w:r>
    </w:p>
    <w:p w:rsidR="00316948" w:rsidRPr="00446609" w:rsidRDefault="00316948" w:rsidP="00316948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>Целищев В.В. Философия математики. Новосибирск: Изд-во НГУ, 2002. Ч. 1–2.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IV. Составление записи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на статью</w:t>
      </w:r>
      <w:r w:rsidRPr="00446609">
        <w:rPr>
          <w:rFonts w:ascii="Times New Roman" w:hAnsi="Times New Roman" w:cs="Times New Roman"/>
          <w:sz w:val="28"/>
          <w:szCs w:val="28"/>
        </w:rPr>
        <w:t xml:space="preserve"> из журнала, раздел или главу монографии и т.д.:</w:t>
      </w:r>
    </w:p>
    <w:p w:rsidR="00316948" w:rsidRPr="00446609" w:rsidRDefault="00316948" w:rsidP="0031694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Т.В. К логике социальных наук //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философии. 1992. №10. С. 76–86.</w:t>
      </w:r>
    </w:p>
    <w:p w:rsidR="00316948" w:rsidRPr="00446609" w:rsidRDefault="00316948" w:rsidP="0031694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Григорьев Л.И. Мониторинг состояния оборудования систем связи в трубопроводном транспорте нефти // Автоматизация, телемеханизация и связь в нефтяной промышленности. 2007. № 5. С. 3–8.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446609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4660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 публикацию в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материалах конференций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Моисеева М.В.,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Е.В. Японская мультипликация и ее восприятие в России // Социокультурная миссия университета в современном обществе: материалы I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4466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"Человек, культура, образование" (Ульяновск, 2-4 июля 2005 г.). Ульяновск, 2006. С. 142–145.</w:t>
      </w:r>
    </w:p>
    <w:p w:rsidR="00316948" w:rsidRPr="00446609" w:rsidRDefault="00316948" w:rsidP="0031694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Иванов В.И., Сыров Т.В. Россия глазами русских // Россия и мир: гуманитарные проблемы: сб. тр. по итогам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 науч. конференции / С.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гос. ун-т вод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оммуникаций. 2004. Вып.8. С. 155–158.  </w:t>
      </w: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диссертации, авторефераты диссертаций</w:t>
      </w: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В.Ф. Интегративно-контекстная модель формирования профессиональной компетенции: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наук. М, 2008. 44 с.</w:t>
      </w:r>
    </w:p>
    <w:p w:rsidR="00316948" w:rsidRPr="00446609" w:rsidRDefault="00316948" w:rsidP="0031694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Фенухин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… канд. полит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аук. М., 2002. 164 с.</w:t>
      </w: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Составление записи на </w:t>
      </w:r>
      <w:r w:rsidRPr="00446609">
        <w:rPr>
          <w:rFonts w:ascii="Times New Roman" w:hAnsi="Times New Roman" w:cs="Times New Roman"/>
          <w:b/>
          <w:i/>
          <w:spacing w:val="-2"/>
          <w:sz w:val="28"/>
          <w:szCs w:val="28"/>
        </w:rPr>
        <w:t>учебное пособие</w:t>
      </w:r>
    </w:p>
    <w:p w:rsidR="00316948" w:rsidRPr="00446609" w:rsidRDefault="00316948" w:rsidP="0031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>Гришаева Л.И., Цурикова Л.В. Введение в теорию межкультурной коммуникации: учеб</w:t>
      </w:r>
      <w:proofErr w:type="gramStart"/>
      <w:r w:rsidRPr="0044660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46609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особие для вузов. 3-е изд. М.: </w:t>
      </w: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Academia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, 2006. 123 с.</w:t>
      </w:r>
    </w:p>
    <w:p w:rsidR="00316948" w:rsidRPr="00446609" w:rsidRDefault="00316948" w:rsidP="0031694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</w:rPr>
        <w:t>Образцов П.И., Иванова О.Ю. Профессионально-ориентированное обучение иностранному языку на неязыковых факультетах вузов: учеб</w:t>
      </w:r>
      <w:proofErr w:type="gramStart"/>
      <w:r w:rsidRPr="00446609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446609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446609">
        <w:rPr>
          <w:rFonts w:ascii="Times New Roman" w:hAnsi="Times New Roman" w:cs="Times New Roman"/>
          <w:spacing w:val="-2"/>
          <w:sz w:val="28"/>
          <w:szCs w:val="28"/>
        </w:rPr>
        <w:t xml:space="preserve">особие / под ред. П.И. Образцова. Орел, 2005. 114 с. </w:t>
      </w: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6609">
        <w:rPr>
          <w:rFonts w:ascii="Times New Roman" w:hAnsi="Times New Roman" w:cs="Times New Roman"/>
          <w:sz w:val="28"/>
          <w:szCs w:val="28"/>
        </w:rPr>
        <w:t xml:space="preserve">. 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нормативные акты</w:t>
      </w: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bCs/>
          <w:sz w:val="28"/>
          <w:szCs w:val="28"/>
        </w:rPr>
        <w:t>Об</w:t>
      </w:r>
      <w:r w:rsidRPr="0044660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о</w:t>
      </w:r>
      <w:r w:rsidRPr="00446609">
        <w:rPr>
          <w:rFonts w:ascii="Times New Roman" w:hAnsi="Times New Roman" w:cs="Times New Roman"/>
          <w:bCs/>
          <w:sz w:val="28"/>
          <w:szCs w:val="28"/>
        </w:rPr>
        <w:t xml:space="preserve">бразовании в Российской Федерации: </w:t>
      </w:r>
      <w:proofErr w:type="spellStart"/>
      <w:r w:rsidRPr="00446609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446609">
        <w:rPr>
          <w:rFonts w:ascii="Times New Roman" w:hAnsi="Times New Roman" w:cs="Times New Roman"/>
          <w:bCs/>
          <w:sz w:val="28"/>
          <w:szCs w:val="28"/>
        </w:rPr>
        <w:t xml:space="preserve">. закон от 29 декабря 2012 г. </w:t>
      </w:r>
      <w:r w:rsidRPr="00446609">
        <w:rPr>
          <w:rFonts w:ascii="Times New Roman" w:hAnsi="Times New Roman" w:cs="Times New Roman"/>
          <w:bCs/>
          <w:sz w:val="28"/>
          <w:szCs w:val="28"/>
        </w:rPr>
        <w:br/>
        <w:t>№ 273-ФЗ</w:t>
      </w:r>
      <w:proofErr w:type="gramStart"/>
      <w:r w:rsidRPr="00446609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4466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обр. законодательства Рос. Федерации, 2012. № 53 (ч. 1). Ст. 7598.</w:t>
      </w: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609">
        <w:rPr>
          <w:rFonts w:ascii="Times New Roman" w:hAnsi="Times New Roman" w:cs="Times New Roman"/>
          <w:spacing w:val="-2"/>
          <w:sz w:val="28"/>
          <w:szCs w:val="28"/>
          <w:lang w:val="en-US"/>
        </w:rPr>
        <w:t>IX</w:t>
      </w:r>
      <w:r w:rsidRPr="00446609">
        <w:rPr>
          <w:rFonts w:ascii="Times New Roman" w:hAnsi="Times New Roman" w:cs="Times New Roman"/>
          <w:spacing w:val="-2"/>
          <w:sz w:val="28"/>
          <w:szCs w:val="28"/>
        </w:rPr>
        <w:t>. Составление записи на</w:t>
      </w:r>
      <w:r w:rsidRPr="00446609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электронные ресурсы</w:t>
      </w:r>
    </w:p>
    <w:p w:rsidR="00316948" w:rsidRPr="00446609" w:rsidRDefault="00316948" w:rsidP="00316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pStyle w:val="a6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Архивный фонд Российской Федерации // Федеральное архивное агентство.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66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http://archives.ru/af.shtml</w:t>
        </w:r>
      </w:hyperlink>
      <w:r w:rsidRPr="00446609">
        <w:rPr>
          <w:rFonts w:ascii="Times New Roman" w:hAnsi="Times New Roman" w:cs="Times New Roman"/>
          <w:sz w:val="28"/>
          <w:szCs w:val="28"/>
        </w:rPr>
        <w:t xml:space="preserve"> (дата обращения: 15.10.2012).</w:t>
      </w:r>
    </w:p>
    <w:p w:rsidR="00316948" w:rsidRPr="00446609" w:rsidRDefault="00316948" w:rsidP="0031694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>Ванюшин И.В. Методика измерения характеристики преобразования AЦП // Исследовано в России: электрон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66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ногопредм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>. науч. журн. 2000. [T. 3.]. С. 263—272. URL: http://zhurnal.ape.relarn.ru/articles/2000/019.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df (дата обращения: 06.05.2006).</w:t>
      </w:r>
    </w:p>
    <w:p w:rsidR="00316948" w:rsidRPr="00446609" w:rsidRDefault="00316948" w:rsidP="0031694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Дирина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 А.И. Право военнослужащих Российской Федерации на свободу ассоциаций // Военное право: сетевой журн. 2007. URL: http://www.voenno</w:t>
      </w:r>
      <w:proofErr w:type="gramStart"/>
      <w:r w:rsidRPr="00446609">
        <w:rPr>
          <w:rFonts w:ascii="Times New Roman" w:hAnsi="Times New Roman" w:cs="Times New Roman"/>
          <w:sz w:val="28"/>
          <w:szCs w:val="28"/>
        </w:rPr>
        <w:t>ер</w:t>
      </w:r>
      <w:proofErr w:type="gramEnd"/>
      <w:r w:rsidRPr="00446609">
        <w:rPr>
          <w:rFonts w:ascii="Times New Roman" w:hAnsi="Times New Roman" w:cs="Times New Roman"/>
          <w:sz w:val="28"/>
          <w:szCs w:val="28"/>
        </w:rPr>
        <w:t>ravo.ru/node/2149 (дата обращения: 19.09.2007).</w:t>
      </w:r>
    </w:p>
    <w:p w:rsidR="00316948" w:rsidRPr="00446609" w:rsidRDefault="00316948" w:rsidP="00316948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609">
        <w:rPr>
          <w:rFonts w:ascii="Times New Roman" w:hAnsi="Times New Roman" w:cs="Times New Roman"/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466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46609">
        <w:rPr>
          <w:rFonts w:ascii="Times New Roman" w:hAnsi="Times New Roman" w:cs="Times New Roman"/>
          <w:sz w:val="28"/>
          <w:szCs w:val="28"/>
        </w:rPr>
        <w:t xml:space="preserve">. Интернет-журн. 21.10.03 </w:t>
      </w:r>
      <w:r w:rsidRPr="004466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66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oim</w:t>
        </w:r>
        <w:proofErr w:type="spellEnd"/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reader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446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nomer</w:t>
        </w:r>
        <w:proofErr w:type="spellEnd"/>
        <w:r w:rsidRPr="00446609">
          <w:rPr>
            <w:rStyle w:val="a3"/>
            <w:rFonts w:ascii="Times New Roman" w:hAnsi="Times New Roman" w:cs="Times New Roman"/>
            <w:sz w:val="28"/>
            <w:szCs w:val="28"/>
          </w:rPr>
          <w:t>=366</w:t>
        </w:r>
      </w:hyperlink>
      <w:r w:rsidRPr="00446609">
        <w:rPr>
          <w:rFonts w:ascii="Times New Roman" w:hAnsi="Times New Roman" w:cs="Times New Roman"/>
          <w:sz w:val="28"/>
          <w:szCs w:val="28"/>
        </w:rPr>
        <w:t xml:space="preserve"> (дата обращения: 17.04.07)</w:t>
      </w:r>
    </w:p>
    <w:p w:rsidR="00316948" w:rsidRPr="00446609" w:rsidRDefault="00316948" w:rsidP="00316948">
      <w:pPr>
        <w:rPr>
          <w:rFonts w:ascii="Times New Roman" w:hAnsi="Times New Roman" w:cs="Times New Roman"/>
          <w:sz w:val="28"/>
          <w:szCs w:val="28"/>
        </w:rPr>
      </w:pPr>
    </w:p>
    <w:p w:rsidR="00316948" w:rsidRPr="00446609" w:rsidRDefault="00316948" w:rsidP="00316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58" w:rsidRPr="00DB292F" w:rsidRDefault="00C86658" w:rsidP="00FC4872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Напоминаем вам, что в рамках конференции будет проводиться молодежная научная конференция (</w:t>
      </w:r>
      <w:proofErr w:type="spellStart"/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бакалавриат</w:t>
      </w:r>
      <w:proofErr w:type="spellEnd"/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</w:t>
      </w:r>
      <w:proofErr w:type="spellStart"/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специалитет</w:t>
      </w:r>
      <w:proofErr w:type="spellEnd"/>
      <w:r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>, магистратура, аспирантура). Статьи студентов также будут опубликованы в сборнике по материалам конференции.</w:t>
      </w:r>
      <w:r w:rsidR="0023166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Для участия в конференции студенты могут заполнить и прислать заявку </w:t>
      </w:r>
      <w:r w:rsidR="00E16AE1">
        <w:rPr>
          <w:rFonts w:ascii="Times New Roman" w:eastAsia="Droid Sans Fallback" w:hAnsi="Times New Roman" w:cs="Times New Roman"/>
          <w:color w:val="00000A"/>
          <w:sz w:val="28"/>
          <w:szCs w:val="28"/>
        </w:rPr>
        <w:t>по адресу</w:t>
      </w:r>
      <w:r w:rsidR="0023166B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hyperlink r:id="rId13" w:history="1"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  <w:lang w:val="en-US"/>
          </w:rPr>
          <w:t>voronejcrlf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</w:rPr>
          <w:t>@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  <w:lang w:val="en-US"/>
          </w:rPr>
          <w:t>mail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</w:rPr>
          <w:t>.</w:t>
        </w:r>
        <w:r w:rsidR="0023166B" w:rsidRPr="00DB292F">
          <w:rPr>
            <w:rStyle w:val="a3"/>
            <w:rFonts w:ascii="Times New Roman" w:eastAsia="Droid Sans Fallback" w:hAnsi="Times New Roman" w:cs="Times New Roman"/>
            <w:kern w:val="1"/>
            <w:sz w:val="28"/>
            <w:szCs w:val="28"/>
            <w:lang w:val="en-US"/>
          </w:rPr>
          <w:t>ru</w:t>
        </w:r>
      </w:hyperlink>
      <w:r w:rsidR="0023166B" w:rsidRPr="00DB292F">
        <w:rPr>
          <w:rFonts w:ascii="Times New Roman" w:eastAsia="Arial" w:hAnsi="Times New Roman"/>
          <w:kern w:val="1"/>
          <w:sz w:val="28"/>
          <w:szCs w:val="28"/>
        </w:rPr>
        <w:t xml:space="preserve"> или заполнить </w:t>
      </w:r>
      <w:proofErr w:type="spellStart"/>
      <w:r w:rsidR="0023166B" w:rsidRPr="00DB292F">
        <w:rPr>
          <w:rFonts w:ascii="Times New Roman" w:eastAsia="Arial" w:hAnsi="Times New Roman"/>
          <w:kern w:val="1"/>
          <w:sz w:val="28"/>
          <w:szCs w:val="28"/>
        </w:rPr>
        <w:t>гугл</w:t>
      </w:r>
      <w:proofErr w:type="spellEnd"/>
      <w:r w:rsidR="0023166B" w:rsidRPr="00DB292F">
        <w:rPr>
          <w:rFonts w:ascii="Times New Roman" w:eastAsia="Arial" w:hAnsi="Times New Roman"/>
          <w:kern w:val="1"/>
          <w:sz w:val="28"/>
          <w:szCs w:val="28"/>
        </w:rPr>
        <w:t xml:space="preserve">-форму </w:t>
      </w:r>
      <w:r w:rsidR="00E16AE1">
        <w:rPr>
          <w:rFonts w:ascii="Times New Roman" w:eastAsia="Arial" w:hAnsi="Times New Roman"/>
          <w:kern w:val="1"/>
          <w:sz w:val="28"/>
          <w:szCs w:val="28"/>
        </w:rPr>
        <w:t xml:space="preserve"> по ссылке</w:t>
      </w:r>
      <w:r w:rsidR="0023166B" w:rsidRPr="00DB29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gtFrame="_blank" w:history="1">
        <w:r w:rsidR="0023166B" w:rsidRPr="00DB292F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t>https://forms.gle/Ft32opC68jhM8gBX7</w:t>
        </w:r>
      </w:hyperlink>
      <w:r w:rsidR="00B0610A">
        <w:rPr>
          <w:rFonts w:ascii="Times New Roman" w:eastAsia="Times New Roman" w:hAnsi="Times New Roman" w:cs="Times New Roman"/>
          <w:color w:val="990099"/>
          <w:sz w:val="28"/>
          <w:szCs w:val="28"/>
          <w:u w:val="single"/>
          <w:lang w:eastAsia="ru-RU"/>
        </w:rPr>
        <w:t>.</w:t>
      </w:r>
    </w:p>
    <w:p w:rsidR="00C86658" w:rsidRPr="00DB292F" w:rsidRDefault="00B0610A" w:rsidP="00DB292F">
      <w:pPr>
        <w:tabs>
          <w:tab w:val="left" w:pos="708"/>
        </w:tabs>
        <w:suppressAutoHyphens/>
        <w:spacing w:after="0" w:line="360" w:lineRule="auto"/>
        <w:ind w:right="284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>Программа</w:t>
      </w:r>
      <w:r w:rsidR="0031694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конференции </w:t>
      </w:r>
      <w:proofErr w:type="gramStart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с</w:t>
      </w:r>
      <w:proofErr w:type="gramEnd"/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ссылками для входа на платформу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ZOOM</w:t>
      </w:r>
      <w:r w:rsidRPr="00B0610A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будет </w:t>
      </w:r>
      <w:r w:rsidR="00C86658" w:rsidRPr="00DB292F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размещена на сайте конференции </w:t>
      </w:r>
      <w:hyperlink r:id="rId15" w:tgtFrame="_blank" w:history="1">
        <w:r w:rsidR="00C86658" w:rsidRPr="00DB292F">
          <w:rPr>
            <w:rFonts w:ascii="Arial" w:eastAsia="Times New Roman" w:hAnsi="Arial" w:cs="Arial"/>
            <w:color w:val="990099"/>
            <w:sz w:val="28"/>
            <w:szCs w:val="28"/>
            <w:u w:val="single"/>
            <w:lang w:eastAsia="ru-RU"/>
          </w:rPr>
          <w:t>http://www.rgph.vsu.ru/ru/science/conf/conf20201216/index.html</w:t>
        </w:r>
      </w:hyperlink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 13.12.2020 года.</w:t>
      </w:r>
    </w:p>
    <w:p w:rsidR="00FC4872" w:rsidRPr="00DB292F" w:rsidRDefault="00FC4872" w:rsidP="00FC4872">
      <w:pPr>
        <w:tabs>
          <w:tab w:val="left" w:pos="708"/>
        </w:tabs>
        <w:suppressAutoHyphens/>
        <w:spacing w:after="0" w:line="312" w:lineRule="auto"/>
        <w:ind w:right="282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E1000A" w:rsidRPr="00DB292F" w:rsidRDefault="00E1000A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color w:val="00000A"/>
          <w:kern w:val="1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color w:val="00000A"/>
          <w:kern w:val="1"/>
          <w:sz w:val="28"/>
          <w:szCs w:val="28"/>
        </w:rPr>
        <w:t>С уважением,</w:t>
      </w:r>
    </w:p>
    <w:p w:rsidR="00B06B08" w:rsidRDefault="00E1000A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</w:pPr>
      <w:r w:rsidRPr="00DB292F"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  <w:t>О</w:t>
      </w:r>
      <w:r w:rsidR="00B06B08" w:rsidRPr="00DB292F"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  <w:t>ргкомитет</w:t>
      </w:r>
      <w:r w:rsidRPr="00DB292F"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  <w:t xml:space="preserve"> конференции</w:t>
      </w:r>
    </w:p>
    <w:p w:rsidR="00DB292F" w:rsidRDefault="00DB292F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i/>
          <w:color w:val="00000A"/>
          <w:sz w:val="28"/>
          <w:szCs w:val="28"/>
        </w:rPr>
      </w:pPr>
    </w:p>
    <w:p w:rsidR="00DB292F" w:rsidRPr="00DB292F" w:rsidRDefault="00DB292F" w:rsidP="0019485A">
      <w:pPr>
        <w:tabs>
          <w:tab w:val="left" w:pos="708"/>
        </w:tabs>
        <w:suppressAutoHyphens/>
        <w:spacing w:after="0" w:line="312" w:lineRule="auto"/>
        <w:ind w:right="282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ЗАЯВКА расположена ниже.</w:t>
      </w:r>
    </w:p>
    <w:p w:rsidR="00DB292F" w:rsidRPr="00DB292F" w:rsidRDefault="00DB292F" w:rsidP="00DB292F">
      <w:pPr>
        <w:pageBreakBefore/>
        <w:shd w:val="clear" w:color="auto" w:fill="FFFFFF"/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ЗАЯВКА</w:t>
      </w:r>
    </w:p>
    <w:p w:rsidR="00DB292F" w:rsidRPr="00DB292F" w:rsidRDefault="00DB292F" w:rsidP="00DB292F">
      <w:pPr>
        <w:shd w:val="clear" w:color="auto" w:fill="FFFFFF"/>
        <w:suppressAutoHyphens/>
        <w:spacing w:after="0" w:line="269" w:lineRule="atLeast"/>
        <w:ind w:right="28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DB292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 участие в Международной научно-практической конференции</w:t>
      </w:r>
      <w:r w:rsidRPr="00DB292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B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Языковая картина мира в условиях</w:t>
      </w:r>
      <w:r w:rsidRPr="00DB29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мультилингвизма</w:t>
      </w:r>
      <w:proofErr w:type="spellEnd"/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мультикультурализма</w:t>
      </w:r>
      <w:proofErr w:type="spellEnd"/>
      <w:r w:rsidRPr="00DB29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 переводческий, лингвистический и дидактический аспекты».</w:t>
      </w:r>
    </w:p>
    <w:p w:rsidR="00DB292F" w:rsidRPr="00DB292F" w:rsidRDefault="00DB292F" w:rsidP="00DB292F">
      <w:pPr>
        <w:suppressAutoHyphens/>
        <w:spacing w:after="200" w:line="200" w:lineRule="atLeast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</w:p>
    <w:p w:rsidR="00DB292F" w:rsidRPr="00DB292F" w:rsidRDefault="00DB292F" w:rsidP="00DB292F">
      <w:pPr>
        <w:shd w:val="clear" w:color="auto" w:fill="FFFFFF"/>
        <w:suppressAutoHyphens/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Ученая степень, должность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работы (вуз, кафедра)/учебы (для студентов, </w:t>
            </w:r>
            <w:proofErr w:type="spellStart"/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магистантов</w:t>
            </w:r>
            <w:proofErr w:type="spellEnd"/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Формат участия</w:t>
            </w: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Слушатель / докладчик/участие в семинаре (оставить нужное)</w:t>
            </w: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программе повышения квалификации</w:t>
            </w: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 / нет (оставить </w:t>
            </w:r>
            <w:proofErr w:type="gramStart"/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нужное</w:t>
            </w:r>
            <w:proofErr w:type="gramEnd"/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Необходимость приглашения</w:t>
            </w: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Требуемые технические средства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4253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доклада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292F" w:rsidRPr="00DB292F" w:rsidTr="00997101">
        <w:tc>
          <w:tcPr>
            <w:tcW w:w="9214" w:type="dxa"/>
            <w:gridSpan w:val="2"/>
          </w:tcPr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доклада (до 300 слов)</w:t>
            </w:r>
          </w:p>
          <w:p w:rsidR="00DB292F" w:rsidRPr="00DB292F" w:rsidRDefault="00DB292F" w:rsidP="00997101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B292F" w:rsidRPr="00DB292F" w:rsidRDefault="00DB292F" w:rsidP="00DB292F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2F" w:rsidRPr="00DB292F" w:rsidRDefault="00DB292F" w:rsidP="00DB292F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2F" w:rsidRPr="00DB292F" w:rsidRDefault="00DB292F" w:rsidP="00DB292F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2F" w:rsidRPr="00DB292F" w:rsidRDefault="00DB292F" w:rsidP="00DB292F">
      <w:pPr>
        <w:tabs>
          <w:tab w:val="left" w:pos="708"/>
        </w:tabs>
        <w:suppressAutoHyphens/>
        <w:spacing w:after="200" w:line="276" w:lineRule="auto"/>
        <w:ind w:right="282"/>
        <w:jc w:val="both"/>
        <w:rPr>
          <w:rFonts w:ascii="Times New Roman" w:eastAsia="Arial Unicode MS" w:hAnsi="Times New Roman" w:cs="Times New Roman"/>
          <w:iCs/>
          <w:color w:val="00000A"/>
          <w:kern w:val="1"/>
          <w:sz w:val="28"/>
          <w:szCs w:val="28"/>
        </w:rPr>
      </w:pPr>
    </w:p>
    <w:p w:rsidR="00DB292F" w:rsidRPr="00DB292F" w:rsidRDefault="00DB292F" w:rsidP="00DB292F">
      <w:pPr>
        <w:spacing w:line="312" w:lineRule="auto"/>
        <w:rPr>
          <w:sz w:val="28"/>
          <w:szCs w:val="28"/>
        </w:rPr>
      </w:pPr>
    </w:p>
    <w:p w:rsidR="00B06B08" w:rsidRPr="00DB292F" w:rsidRDefault="00B06B08" w:rsidP="0019485A">
      <w:pPr>
        <w:suppressAutoHyphens/>
        <w:spacing w:after="200" w:line="312" w:lineRule="auto"/>
        <w:ind w:right="282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</w:p>
    <w:sectPr w:rsidR="00B06B08" w:rsidRPr="00DB292F" w:rsidSect="0019485A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B76"/>
    <w:multiLevelType w:val="hybridMultilevel"/>
    <w:tmpl w:val="24C4B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DA6F65"/>
    <w:multiLevelType w:val="hybridMultilevel"/>
    <w:tmpl w:val="A1F0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0DFA"/>
    <w:multiLevelType w:val="hybridMultilevel"/>
    <w:tmpl w:val="DB98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4104"/>
    <w:multiLevelType w:val="hybridMultilevel"/>
    <w:tmpl w:val="FC98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2EE4"/>
    <w:multiLevelType w:val="hybridMultilevel"/>
    <w:tmpl w:val="2A5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6A9C"/>
    <w:multiLevelType w:val="hybridMultilevel"/>
    <w:tmpl w:val="47B2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5EF2"/>
    <w:multiLevelType w:val="hybridMultilevel"/>
    <w:tmpl w:val="47E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B486C"/>
    <w:multiLevelType w:val="hybridMultilevel"/>
    <w:tmpl w:val="599C2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FA075A"/>
    <w:multiLevelType w:val="hybridMultilevel"/>
    <w:tmpl w:val="6F489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34E08"/>
    <w:multiLevelType w:val="hybridMultilevel"/>
    <w:tmpl w:val="8EA4D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25DE2"/>
    <w:multiLevelType w:val="hybridMultilevel"/>
    <w:tmpl w:val="D2C208A6"/>
    <w:lvl w:ilvl="0" w:tplc="04190011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1F4931"/>
    <w:multiLevelType w:val="hybridMultilevel"/>
    <w:tmpl w:val="616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85668"/>
    <w:multiLevelType w:val="hybridMultilevel"/>
    <w:tmpl w:val="5B1E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84CD2"/>
    <w:multiLevelType w:val="hybridMultilevel"/>
    <w:tmpl w:val="C372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347BC"/>
    <w:multiLevelType w:val="hybridMultilevel"/>
    <w:tmpl w:val="5876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31999"/>
    <w:multiLevelType w:val="hybridMultilevel"/>
    <w:tmpl w:val="679A162E"/>
    <w:lvl w:ilvl="0" w:tplc="30489F50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0BE"/>
    <w:rsid w:val="000275A9"/>
    <w:rsid w:val="00077A6A"/>
    <w:rsid w:val="000F3DD5"/>
    <w:rsid w:val="00173C2D"/>
    <w:rsid w:val="0019485A"/>
    <w:rsid w:val="0023166B"/>
    <w:rsid w:val="002440C2"/>
    <w:rsid w:val="002926AF"/>
    <w:rsid w:val="00316948"/>
    <w:rsid w:val="003352E8"/>
    <w:rsid w:val="004F763F"/>
    <w:rsid w:val="00527B5F"/>
    <w:rsid w:val="008415EB"/>
    <w:rsid w:val="008876FD"/>
    <w:rsid w:val="008B4C16"/>
    <w:rsid w:val="00945FF4"/>
    <w:rsid w:val="009614F0"/>
    <w:rsid w:val="00971A32"/>
    <w:rsid w:val="009978F2"/>
    <w:rsid w:val="00A4690E"/>
    <w:rsid w:val="00A9279E"/>
    <w:rsid w:val="00AC14D0"/>
    <w:rsid w:val="00B0610A"/>
    <w:rsid w:val="00B06B08"/>
    <w:rsid w:val="00B11DBC"/>
    <w:rsid w:val="00BB18CF"/>
    <w:rsid w:val="00BB5395"/>
    <w:rsid w:val="00C45E72"/>
    <w:rsid w:val="00C805E1"/>
    <w:rsid w:val="00C86658"/>
    <w:rsid w:val="00DB292F"/>
    <w:rsid w:val="00DC19FB"/>
    <w:rsid w:val="00E1000A"/>
    <w:rsid w:val="00E16AE1"/>
    <w:rsid w:val="00E21CC5"/>
    <w:rsid w:val="00E40155"/>
    <w:rsid w:val="00E818C2"/>
    <w:rsid w:val="00F940BE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D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5E72"/>
    <w:pPr>
      <w:ind w:left="720"/>
      <w:contextualSpacing/>
    </w:pPr>
  </w:style>
  <w:style w:type="character" w:styleId="a7">
    <w:name w:val="Emphasis"/>
    <w:basedOn w:val="a0"/>
    <w:uiPriority w:val="20"/>
    <w:qFormat/>
    <w:rsid w:val="00316948"/>
    <w:rPr>
      <w:i/>
      <w:iCs/>
    </w:rPr>
  </w:style>
  <w:style w:type="character" w:styleId="a8">
    <w:name w:val="Strong"/>
    <w:basedOn w:val="a0"/>
    <w:uiPriority w:val="22"/>
    <w:qFormat/>
    <w:rsid w:val="00316948"/>
    <w:rPr>
      <w:b/>
      <w:bCs/>
    </w:rPr>
  </w:style>
  <w:style w:type="character" w:customStyle="1" w:styleId="apple-converted-space">
    <w:name w:val="apple-converted-space"/>
    <w:basedOn w:val="a0"/>
    <w:rsid w:val="00316948"/>
  </w:style>
  <w:style w:type="table" w:styleId="a9">
    <w:name w:val="Table Grid"/>
    <w:basedOn w:val="a1"/>
    <w:uiPriority w:val="99"/>
    <w:rsid w:val="0031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oronejcrlf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vsu.ru/images/vsu_gerb.png" TargetMode="External"/><Relationship Id="rId12" Type="http://schemas.openxmlformats.org/officeDocument/2006/relationships/hyperlink" Target="http://www.oim.ru/reader.asp?nomer=3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rchives.ru/af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ph.vsu.ru/ru/science/conf/conf20201216/index.html" TargetMode="External"/><Relationship Id="rId10" Type="http://schemas.openxmlformats.org/officeDocument/2006/relationships/hyperlink" Target="http://www.rgph.vsu.ru/ru/science/conf/conf20201216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.voronezh.2020@gmail.com" TargetMode="External"/><Relationship Id="rId14" Type="http://schemas.openxmlformats.org/officeDocument/2006/relationships/hyperlink" Target="https://forms.gle/Ft32opC68jhM8gBX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Elena</cp:lastModifiedBy>
  <cp:revision>9</cp:revision>
  <dcterms:created xsi:type="dcterms:W3CDTF">2020-11-26T06:30:00Z</dcterms:created>
  <dcterms:modified xsi:type="dcterms:W3CDTF">2020-12-08T11:59:00Z</dcterms:modified>
</cp:coreProperties>
</file>